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B0C0B" w14:textId="77777777" w:rsidR="00332326" w:rsidRPr="00C63FDE" w:rsidRDefault="00DF3ADE" w:rsidP="00694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14:paraId="47B0EE8C" w14:textId="392EEAAC" w:rsidR="00B02140" w:rsidRPr="00C63FDE" w:rsidRDefault="00DF3ADE" w:rsidP="00694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Председателя Совета Ассоциации «СГАУ»</w:t>
      </w:r>
      <w:r w:rsidR="006022EA" w:rsidRPr="00C63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3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отчетный период</w:t>
      </w:r>
    </w:p>
    <w:p w14:paraId="5029CE0C" w14:textId="38BBDD19" w:rsidR="00DF3ADE" w:rsidRPr="00C63FDE" w:rsidRDefault="00B02140" w:rsidP="00694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F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C6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января по 31 декабря 202</w:t>
      </w:r>
      <w:r w:rsidR="00DF7A3E" w:rsidRPr="00C63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63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14:paraId="1E0D0A05" w14:textId="4907FA81" w:rsidR="00C4367B" w:rsidRPr="00812D4A" w:rsidRDefault="00C4367B" w:rsidP="00694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46118B" w14:textId="6DA4B2BC" w:rsidR="00332326" w:rsidRDefault="00332326" w:rsidP="00694D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Уважаемые </w:t>
      </w:r>
      <w:r w:rsidR="00DF3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члены </w:t>
      </w:r>
      <w:r w:rsidR="00146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Ассоциации</w:t>
      </w:r>
      <w:r w:rsidRPr="00332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14:paraId="6269B83A" w14:textId="77777777" w:rsidR="00C63FDE" w:rsidRPr="00332326" w:rsidRDefault="00C63FDE" w:rsidP="00694D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1BF663" w14:textId="77777777" w:rsidR="00332326" w:rsidRPr="00332326" w:rsidRDefault="00332326" w:rsidP="00694D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0086C3" w14:textId="13F6FEC4" w:rsidR="003B5AFA" w:rsidRPr="00146CEC" w:rsidRDefault="003B5AFA" w:rsidP="003B5AFA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CEC">
        <w:rPr>
          <w:rFonts w:ascii="Times New Roman" w:hAnsi="Times New Roman" w:cs="Times New Roman"/>
          <w:color w:val="000000"/>
          <w:sz w:val="24"/>
          <w:szCs w:val="24"/>
        </w:rPr>
        <w:t>За отчетный период с 01.01.202</w:t>
      </w:r>
      <w:r w:rsidR="00DF7A3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46CEC">
        <w:rPr>
          <w:rFonts w:ascii="Times New Roman" w:hAnsi="Times New Roman" w:cs="Times New Roman"/>
          <w:color w:val="000000"/>
          <w:sz w:val="24"/>
          <w:szCs w:val="24"/>
        </w:rPr>
        <w:t xml:space="preserve"> по 31.12.202</w:t>
      </w:r>
      <w:r w:rsidR="00DF7A3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46CEC">
        <w:rPr>
          <w:rFonts w:ascii="Times New Roman" w:hAnsi="Times New Roman" w:cs="Times New Roman"/>
          <w:color w:val="000000"/>
          <w:sz w:val="24"/>
          <w:szCs w:val="24"/>
        </w:rPr>
        <w:t xml:space="preserve"> Советом Ассоциации было проведено 1</w:t>
      </w:r>
      <w:r w:rsidR="00DF7A3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46CEC">
        <w:rPr>
          <w:rFonts w:ascii="Times New Roman" w:hAnsi="Times New Roman" w:cs="Times New Roman"/>
          <w:color w:val="000000"/>
          <w:sz w:val="24"/>
          <w:szCs w:val="24"/>
        </w:rPr>
        <w:t xml:space="preserve"> заочных заседаний. Все заседания Совета созывались по инициативе председателя Совета. </w:t>
      </w:r>
    </w:p>
    <w:p w14:paraId="7E3E9E35" w14:textId="77777777" w:rsidR="003B5AFA" w:rsidRPr="00146CEC" w:rsidRDefault="003B5AFA" w:rsidP="003B5AFA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CEC">
        <w:rPr>
          <w:rFonts w:ascii="Times New Roman" w:hAnsi="Times New Roman" w:cs="Times New Roman"/>
          <w:color w:val="000000"/>
          <w:sz w:val="24"/>
          <w:szCs w:val="24"/>
        </w:rPr>
        <w:t>Перечень вопросов, выносившихся на рассмотрение Совета:</w:t>
      </w:r>
    </w:p>
    <w:p w14:paraId="4348605F" w14:textId="5AD71F4F" w:rsidR="003B5AFA" w:rsidRDefault="003B5AFA" w:rsidP="003B5AFA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CEC">
        <w:rPr>
          <w:rFonts w:ascii="Times New Roman" w:hAnsi="Times New Roman" w:cs="Times New Roman"/>
          <w:sz w:val="24"/>
          <w:szCs w:val="24"/>
        </w:rPr>
        <w:t>Определение даты, места, формы, повестки дня очередного Общего собрания членов Ассоциации.</w:t>
      </w:r>
    </w:p>
    <w:p w14:paraId="09D90FF1" w14:textId="77777777" w:rsidR="00E53403" w:rsidRPr="00146CEC" w:rsidRDefault="00E53403" w:rsidP="00E53403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AA605EF" w14:textId="171DBA49" w:rsidR="003B5AFA" w:rsidRDefault="003B5AFA" w:rsidP="003B5AFA">
      <w:pPr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CEC">
        <w:rPr>
          <w:rFonts w:ascii="Times New Roman" w:hAnsi="Times New Roman" w:cs="Times New Roman"/>
          <w:sz w:val="24"/>
          <w:szCs w:val="24"/>
        </w:rPr>
        <w:t>Принятие в члены Ассоциации.</w:t>
      </w:r>
      <w:r w:rsidR="003A149C">
        <w:rPr>
          <w:rFonts w:ascii="Times New Roman" w:hAnsi="Times New Roman" w:cs="Times New Roman"/>
          <w:sz w:val="24"/>
          <w:szCs w:val="24"/>
        </w:rPr>
        <w:t xml:space="preserve"> В течение 202</w:t>
      </w:r>
      <w:r w:rsidR="00DF7A3E">
        <w:rPr>
          <w:rFonts w:ascii="Times New Roman" w:hAnsi="Times New Roman" w:cs="Times New Roman"/>
          <w:sz w:val="24"/>
          <w:szCs w:val="24"/>
        </w:rPr>
        <w:t>4</w:t>
      </w:r>
      <w:r w:rsidR="003A149C">
        <w:rPr>
          <w:rFonts w:ascii="Times New Roman" w:hAnsi="Times New Roman" w:cs="Times New Roman"/>
          <w:sz w:val="24"/>
          <w:szCs w:val="24"/>
        </w:rPr>
        <w:t xml:space="preserve"> года были приняты решения о приеме в члены Ассоциации в отношении 1</w:t>
      </w:r>
      <w:r w:rsidR="00DF7A3E">
        <w:rPr>
          <w:rFonts w:ascii="Times New Roman" w:hAnsi="Times New Roman" w:cs="Times New Roman"/>
          <w:sz w:val="24"/>
          <w:szCs w:val="24"/>
        </w:rPr>
        <w:t>4</w:t>
      </w:r>
      <w:r w:rsidR="003A149C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7CCAA4FE" w14:textId="77777777" w:rsidR="00BD0D13" w:rsidRDefault="00BD0D13" w:rsidP="00BD0D13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16" w:type="pct"/>
        <w:tblInd w:w="170" w:type="dxa"/>
        <w:tblLook w:val="04A0" w:firstRow="1" w:lastRow="0" w:firstColumn="1" w:lastColumn="0" w:noHBand="0" w:noVBand="1"/>
      </w:tblPr>
      <w:tblGrid>
        <w:gridCol w:w="850"/>
        <w:gridCol w:w="3432"/>
        <w:gridCol w:w="1390"/>
        <w:gridCol w:w="4073"/>
      </w:tblGrid>
      <w:tr w:rsidR="00E22FBB" w:rsidRPr="00146CEC" w14:paraId="059CEE2C" w14:textId="77777777" w:rsidTr="005367DB">
        <w:trPr>
          <w:trHeight w:val="720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8F62D8" w14:textId="77777777" w:rsidR="00E22FBB" w:rsidRPr="00146CEC" w:rsidRDefault="00E22FBB" w:rsidP="005367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CFEF75" w14:textId="77777777" w:rsidR="00E22FBB" w:rsidRPr="00146CEC" w:rsidRDefault="00E22FBB" w:rsidP="005367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22200F" w14:textId="77777777" w:rsidR="00E22FBB" w:rsidRPr="00146CEC" w:rsidRDefault="00E22FBB" w:rsidP="005367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решения</w:t>
            </w:r>
          </w:p>
        </w:tc>
        <w:tc>
          <w:tcPr>
            <w:tcW w:w="20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34E75F" w14:textId="77777777" w:rsidR="00E22FBB" w:rsidRPr="00146CEC" w:rsidRDefault="00E22FBB" w:rsidP="005367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</w:t>
            </w:r>
          </w:p>
        </w:tc>
      </w:tr>
      <w:tr w:rsidR="00E22FBB" w:rsidRPr="00146CEC" w14:paraId="38B704B0" w14:textId="77777777" w:rsidTr="005367DB">
        <w:trPr>
          <w:trHeight w:val="47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2D95" w14:textId="7AD3AD72" w:rsidR="00BD0D13" w:rsidRDefault="00BD0D13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25B1E447" w14:textId="77A357E2" w:rsidR="00BD0D13" w:rsidRDefault="00BD0D13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506F8298" w14:textId="3B398B6E" w:rsidR="00BD0D13" w:rsidRDefault="00BD0D13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29A6CD29" w14:textId="0AD1C9FD" w:rsidR="00BD0D13" w:rsidRDefault="00BD0D13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2D3E9700" w14:textId="36F34439" w:rsidR="00BD0D13" w:rsidRDefault="00BD0D13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2D8D20B7" w14:textId="452B44E1" w:rsidR="00BD0D13" w:rsidRDefault="00BD0D13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27FE3C70" w14:textId="48C30582" w:rsidR="00BD0D13" w:rsidRDefault="00BD0D13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7CB72C82" w14:textId="40128FD2" w:rsidR="00BD0D13" w:rsidRDefault="00BD0D13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2324335F" w14:textId="55C728B2" w:rsidR="00BD0D13" w:rsidRDefault="00BD0D13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14:paraId="54711D30" w14:textId="5677B3DC" w:rsidR="00BD0D13" w:rsidRDefault="00BD0D13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14:paraId="493BF156" w14:textId="0C3091EB" w:rsidR="00BD0D13" w:rsidRDefault="00BD0D13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14:paraId="3E5AABEE" w14:textId="1C52B12F" w:rsidR="00BD0D13" w:rsidRDefault="00BD0D13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2B640CC0" w14:textId="2E23A09A" w:rsidR="00BD0D13" w:rsidRDefault="00BD0D13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14:paraId="27D4EDB8" w14:textId="553071BE" w:rsidR="00BD0D13" w:rsidRDefault="00BD0D13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14:paraId="7069CC79" w14:textId="2B04310B" w:rsidR="00BD0D13" w:rsidRPr="00146CEC" w:rsidRDefault="00BD0D13" w:rsidP="00E46E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81AFB" w14:textId="0A8D61C6" w:rsidR="00E22FBB" w:rsidRDefault="00DF7A3E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Троян</w:t>
            </w:r>
            <w:r w:rsidR="00B34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  <w:p w14:paraId="210DC234" w14:textId="56F18304" w:rsidR="00E22FBB" w:rsidRDefault="00F21E6E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Клаузер О.О</w:t>
            </w:r>
            <w:r w:rsidR="00E2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BD12B58" w14:textId="5D58598E" w:rsidR="00E22FBB" w:rsidRDefault="00F21E6E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Косицын В.Ю</w:t>
            </w:r>
            <w:r w:rsidR="00E2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82413F6" w14:textId="6E4DEAAC" w:rsidR="00E22FBB" w:rsidRDefault="00F21E6E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 А.И</w:t>
            </w:r>
            <w:r w:rsidR="00E2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ED462ED" w14:textId="5AA4F46A" w:rsidR="00E22FBB" w:rsidRDefault="00F114D0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Мещеряков С.Е</w:t>
            </w:r>
            <w:r w:rsidR="00E2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0E10EE6" w14:textId="1E937EC1" w:rsidR="00E22FBB" w:rsidRDefault="00F114D0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</w:t>
            </w:r>
            <w:r w:rsidR="00E2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  <w:p w14:paraId="39149D51" w14:textId="67D8C1FE" w:rsidR="00E22FBB" w:rsidRDefault="00F114D0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Эркенова М.К</w:t>
            </w:r>
            <w:r w:rsidR="00E2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6968C87" w14:textId="6DD1CFCC" w:rsidR="00E22FBB" w:rsidRDefault="00E22FBB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="00F11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гамедов Ф.Н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094F5EA" w14:textId="2F7EC144" w:rsidR="00E22FBB" w:rsidRDefault="00F114D0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Д.В</w:t>
            </w:r>
            <w:r w:rsidR="00E2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6E6FD81" w14:textId="3A027DAD" w:rsidR="00E22FBB" w:rsidRDefault="00F114D0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Агамов Д.Г</w:t>
            </w:r>
            <w:r w:rsidR="00E2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EAE1163" w14:textId="52EB5084" w:rsidR="00E22FBB" w:rsidRDefault="00F114D0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Череватый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И.С</w:t>
            </w:r>
            <w:r w:rsidR="00E2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3A4E4D8" w14:textId="30D2D846" w:rsidR="00E22FBB" w:rsidRDefault="00F114D0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Яхьяева А.А</w:t>
            </w:r>
            <w:r w:rsidR="00E2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9642B8C" w14:textId="36D659CC" w:rsidR="00E22FBB" w:rsidRDefault="00F114D0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Селезнев Д.А</w:t>
            </w:r>
          </w:p>
          <w:p w14:paraId="03803D45" w14:textId="359549D3" w:rsidR="00E22FBB" w:rsidRDefault="00E46E9B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Качерук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</w:t>
            </w:r>
            <w:r w:rsidR="00E2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5D62A88" w14:textId="0681404B" w:rsidR="00BD0D13" w:rsidRPr="00146CEC" w:rsidRDefault="00BD0D13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12C1" w14:textId="61D837A3" w:rsidR="00E22FBB" w:rsidRDefault="00B34E7B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BD0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08E9E339" w14:textId="38CC0866" w:rsidR="00BD0D13" w:rsidRDefault="00F21E6E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BD0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319B3434" w14:textId="312F7670" w:rsidR="00BD0D13" w:rsidRDefault="00F21E6E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BD0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2D0B4DF9" w14:textId="7CB05AC2" w:rsidR="00BD0D13" w:rsidRDefault="00F21E6E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BD0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D0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1637B871" w14:textId="63AF6A2F" w:rsidR="00BD0D13" w:rsidRDefault="00BD0D13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</w:t>
            </w:r>
            <w:r w:rsidR="00F11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11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202B9F4B" w14:textId="1BDB69D2" w:rsidR="00BD0D13" w:rsidRDefault="00F114D0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BD0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D0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3CB51528" w14:textId="04609A2A" w:rsidR="00BD0D13" w:rsidRDefault="00BD0D13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11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F11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11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3EAE86FA" w14:textId="7DF31AF4" w:rsidR="00BD0D13" w:rsidRDefault="00F114D0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BD0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65C48838" w14:textId="6276E483" w:rsidR="00BD0D13" w:rsidRDefault="00F114D0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BD0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3812772E" w14:textId="443368B0" w:rsidR="00BD0D13" w:rsidRDefault="00F114D0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BD0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D0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79D085FA" w14:textId="5FACDD9F" w:rsidR="00BD0D13" w:rsidRDefault="00F114D0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D0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BD0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788D9CD0" w14:textId="1CABAEEC" w:rsidR="00BD0D13" w:rsidRDefault="00F114D0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BD0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2C77B248" w14:textId="7F80AD31" w:rsidR="00BD0D13" w:rsidRDefault="00F114D0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BD0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BD0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08B2EE45" w14:textId="05D75184" w:rsidR="00BD0D13" w:rsidRDefault="00E46E9B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BD0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D0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242A5E87" w14:textId="0A1D9C8C" w:rsidR="00BD0D13" w:rsidRPr="00146CEC" w:rsidRDefault="00BD0D13" w:rsidP="00C63F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92096" w14:textId="77777777" w:rsidR="00E22FBB" w:rsidRPr="00146CEC" w:rsidRDefault="00E22FBB" w:rsidP="005367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E3CF2B" w14:textId="77777777" w:rsidR="00E22FBB" w:rsidRPr="00146CEC" w:rsidRDefault="00E22FBB" w:rsidP="005367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8F72B3" w14:textId="77777777" w:rsidR="00E22FBB" w:rsidRPr="00146CEC" w:rsidRDefault="00E22FBB" w:rsidP="005367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2FFAD8" w14:textId="77777777" w:rsidR="00E22FBB" w:rsidRPr="00146CEC" w:rsidRDefault="00E22FBB" w:rsidP="005367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заявление</w:t>
            </w:r>
          </w:p>
        </w:tc>
      </w:tr>
    </w:tbl>
    <w:p w14:paraId="01B85E25" w14:textId="77777777" w:rsidR="00E22FBB" w:rsidRPr="00146CEC" w:rsidRDefault="00E22FBB" w:rsidP="00E22FBB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890F8" w14:textId="77777777" w:rsidR="00BD0D13" w:rsidRPr="00BD0D13" w:rsidRDefault="00BD0D13" w:rsidP="00BD0D13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01653A" w14:textId="0FE1DE61" w:rsidR="003B5AFA" w:rsidRDefault="00BD0D13" w:rsidP="00BD0D13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3B5AFA" w:rsidRPr="00ED5741">
        <w:rPr>
          <w:rFonts w:ascii="Times New Roman" w:hAnsi="Times New Roman" w:cs="Times New Roman"/>
          <w:sz w:val="24"/>
          <w:szCs w:val="24"/>
        </w:rPr>
        <w:t>Исключение из членов Ассоциации.</w:t>
      </w:r>
      <w:r w:rsidR="003A149C" w:rsidRPr="00ED5741">
        <w:rPr>
          <w:rFonts w:ascii="Times New Roman" w:hAnsi="Times New Roman" w:cs="Times New Roman"/>
          <w:sz w:val="24"/>
          <w:szCs w:val="24"/>
        </w:rPr>
        <w:t xml:space="preserve"> В течение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3A149C" w:rsidRPr="00ED5741">
        <w:rPr>
          <w:rFonts w:ascii="Times New Roman" w:hAnsi="Times New Roman" w:cs="Times New Roman"/>
          <w:sz w:val="24"/>
          <w:szCs w:val="24"/>
        </w:rPr>
        <w:t xml:space="preserve"> года были приняты решения об исключении из членов А</w:t>
      </w:r>
      <w:r w:rsidR="00ED5741" w:rsidRPr="00ED5741">
        <w:rPr>
          <w:rFonts w:ascii="Times New Roman" w:hAnsi="Times New Roman" w:cs="Times New Roman"/>
          <w:sz w:val="24"/>
          <w:szCs w:val="24"/>
        </w:rPr>
        <w:t xml:space="preserve">ссоциации в отношении </w:t>
      </w:r>
      <w:r>
        <w:rPr>
          <w:rFonts w:ascii="Times New Roman" w:hAnsi="Times New Roman" w:cs="Times New Roman"/>
          <w:sz w:val="24"/>
          <w:szCs w:val="24"/>
        </w:rPr>
        <w:t>4</w:t>
      </w:r>
      <w:r w:rsidR="00E46E9B">
        <w:rPr>
          <w:rFonts w:ascii="Times New Roman" w:hAnsi="Times New Roman" w:cs="Times New Roman"/>
          <w:sz w:val="24"/>
          <w:szCs w:val="24"/>
        </w:rPr>
        <w:t>4</w:t>
      </w:r>
      <w:r w:rsidR="00ED5741" w:rsidRPr="00ED5741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ED5741">
        <w:rPr>
          <w:rFonts w:ascii="Times New Roman" w:hAnsi="Times New Roman" w:cs="Times New Roman"/>
          <w:sz w:val="24"/>
          <w:szCs w:val="24"/>
        </w:rPr>
        <w:t>по</w:t>
      </w:r>
      <w:r w:rsidR="003B5AFA" w:rsidRPr="00ED5741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следующим основаниям</w:t>
      </w:r>
      <w:r w:rsidR="00146CEC" w:rsidRPr="00ED574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B5AFA" w:rsidRPr="00ED57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F88D617" w14:textId="77777777" w:rsidR="00135C43" w:rsidRPr="00ED5741" w:rsidRDefault="00135C43" w:rsidP="00135C43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916" w:type="pct"/>
        <w:tblInd w:w="170" w:type="dxa"/>
        <w:tblLook w:val="04A0" w:firstRow="1" w:lastRow="0" w:firstColumn="1" w:lastColumn="0" w:noHBand="0" w:noVBand="1"/>
      </w:tblPr>
      <w:tblGrid>
        <w:gridCol w:w="850"/>
        <w:gridCol w:w="3795"/>
        <w:gridCol w:w="1029"/>
        <w:gridCol w:w="4071"/>
      </w:tblGrid>
      <w:tr w:rsidR="003B5AFA" w:rsidRPr="00146CEC" w14:paraId="00C6B707" w14:textId="77777777" w:rsidTr="00C63FDE">
        <w:trPr>
          <w:trHeight w:val="720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9565B8" w14:textId="77777777" w:rsidR="003B5AFA" w:rsidRPr="00146CEC" w:rsidRDefault="003B5AFA" w:rsidP="00AB19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6C233A" w14:textId="77777777" w:rsidR="003B5AFA" w:rsidRPr="00146CEC" w:rsidRDefault="003B5AFA" w:rsidP="00AB19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904AAD" w14:textId="5ADFE3E5" w:rsidR="003B5AFA" w:rsidRPr="00146CEC" w:rsidRDefault="00E24932" w:rsidP="00AB19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0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8DAA30" w14:textId="77777777" w:rsidR="003B5AFA" w:rsidRPr="00146CEC" w:rsidRDefault="003B5AFA" w:rsidP="00AB19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</w:t>
            </w:r>
          </w:p>
        </w:tc>
      </w:tr>
      <w:tr w:rsidR="003B5AFA" w:rsidRPr="00146CEC" w14:paraId="0ADBCDCC" w14:textId="77777777" w:rsidTr="00C63FDE">
        <w:trPr>
          <w:trHeight w:val="47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34DF" w14:textId="77777777" w:rsidR="003B5AFA" w:rsidRPr="00146CEC" w:rsidRDefault="003B5AFA" w:rsidP="00AB197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4B18" w14:textId="731DA297" w:rsidR="00146CEC" w:rsidRPr="00146CEC" w:rsidRDefault="00E46E9B" w:rsidP="00E53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Кубанов И.Х.,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Г.Е., Метелкин А.Ю., Плюхин П.П,, Чернышева Н.Е.,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Дадаян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А.Л., Клычков Д.В.,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Штутман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Протодьяконов А.В., Могилат В.Е., Блинкова О.Л., Герасимов А.В., Фридрих В.В.</w:t>
            </w:r>
            <w:r w:rsidR="00C6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Печеницын Д.В., </w:t>
            </w:r>
            <w:proofErr w:type="spellStart"/>
            <w:r w:rsidR="00C6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Гречкин</w:t>
            </w:r>
            <w:proofErr w:type="spellEnd"/>
            <w:r w:rsidR="00C6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Д.И., Давыдов В.П., Семашко Н.С., Комаров А.И., Рабаданов А.Ю., </w:t>
            </w:r>
            <w:proofErr w:type="spellStart"/>
            <w:r w:rsidR="00C6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Гульянц</w:t>
            </w:r>
            <w:proofErr w:type="spellEnd"/>
            <w:r w:rsidR="00C6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И.И., Шабалин Ю.Г.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C7FD" w14:textId="77777777" w:rsidR="00E53403" w:rsidRDefault="00E53403" w:rsidP="00E53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2EE230" w14:textId="77777777" w:rsidR="00E53403" w:rsidRDefault="00E53403" w:rsidP="00E53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9CB2A0" w14:textId="77777777" w:rsidR="00E53403" w:rsidRDefault="00E53403" w:rsidP="00E53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6AB53A" w14:textId="4BA81E3C" w:rsidR="00D912F6" w:rsidRPr="00146CEC" w:rsidRDefault="00E46E9B" w:rsidP="00E53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E24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2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6F040" w14:textId="77777777" w:rsidR="00AA5312" w:rsidRPr="00146CEC" w:rsidRDefault="00AA5312" w:rsidP="00E53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B5A1E1" w14:textId="77777777" w:rsidR="00AA5312" w:rsidRPr="00146CEC" w:rsidRDefault="00AA5312" w:rsidP="00E53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DEC58D" w14:textId="77777777" w:rsidR="00AA5312" w:rsidRPr="00146CEC" w:rsidRDefault="00AA5312" w:rsidP="00E53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B7664A" w14:textId="660FF2B4" w:rsidR="003B5AFA" w:rsidRPr="00146CEC" w:rsidRDefault="003B5AFA" w:rsidP="00E53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заявление</w:t>
            </w:r>
          </w:p>
        </w:tc>
      </w:tr>
      <w:tr w:rsidR="003B5AFA" w:rsidRPr="00146CEC" w14:paraId="67FBF85E" w14:textId="77777777" w:rsidTr="00C63FDE">
        <w:trPr>
          <w:trHeight w:val="47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C555" w14:textId="77777777" w:rsidR="003B5AFA" w:rsidRPr="00146CEC" w:rsidRDefault="003B5AFA" w:rsidP="00AB19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90687" w14:textId="42551AA7" w:rsidR="003B5AFA" w:rsidRPr="00146CEC" w:rsidRDefault="00C63FDE" w:rsidP="00E534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Кулишов С.Г., Гурченко А.Б., Семенов А.В., </w:t>
            </w:r>
            <w:r w:rsidR="00032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Ощепков В.А., Филипьев В.С., Косицын С.Ю., Петров А.И., Гусев С.В.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C28CF" w14:textId="6329794C" w:rsidR="003B5AFA" w:rsidRPr="00146CEC" w:rsidRDefault="00032BE2" w:rsidP="00E534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85B66" w14:textId="77777777" w:rsidR="00E53403" w:rsidRDefault="00E53403" w:rsidP="00E53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C656C8" w14:textId="7ED0BD3A" w:rsidR="003B5AFA" w:rsidRPr="00146CEC" w:rsidRDefault="00E24932" w:rsidP="00E53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Дисквалификация сроком на 6 месяцев</w:t>
            </w:r>
          </w:p>
        </w:tc>
      </w:tr>
      <w:tr w:rsidR="003B5AFA" w:rsidRPr="00146CEC" w14:paraId="0C80A7F4" w14:textId="77777777" w:rsidTr="00C63FDE">
        <w:trPr>
          <w:cantSplit/>
          <w:trHeight w:val="47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22EA" w14:textId="501B1234" w:rsidR="003B5AFA" w:rsidRPr="00146CEC" w:rsidRDefault="00032BE2" w:rsidP="00AB19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3795" w14:textId="79D277B4" w:rsidR="003B5AFA" w:rsidRPr="00146CEC" w:rsidRDefault="00032BE2" w:rsidP="00E534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Савельева А.Р., Яковлев Д.А., Шушлебин В.В., Шушлебин Г.В.,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Почуев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В.Л., Кононов Д.Ю., </w:t>
            </w:r>
            <w:r w:rsidR="006E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Шестеркин И.А., Баринов А.В., Андреев А.А., Ефимов А.В., Помелова Е.Д., Троицкая И.Л., Кузнецов В.В., Васин И.В.,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A4164" w14:textId="623201BD" w:rsidR="003B5AFA" w:rsidRPr="00146CEC" w:rsidRDefault="006E56A1" w:rsidP="00E534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B999B" w14:textId="254AC41C" w:rsidR="003B5AFA" w:rsidRPr="00146CEC" w:rsidRDefault="009326DD" w:rsidP="00E534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нарушение условий членства в саморегулируемой организации</w:t>
            </w:r>
            <w:r w:rsidR="00146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именно: </w:t>
            </w:r>
            <w:r w:rsidR="00146CEC" w:rsidRPr="001377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выявленное несоответствие члена Ассоциации требованиям, предъявляемым к членам Ассоциации Уставом и законодательством РФ о несостоятельности</w:t>
            </w:r>
            <w:r w:rsidR="00146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46CEC" w:rsidRPr="00CB3B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отсутствие полиса обязательного страхования</w:t>
            </w:r>
            <w:r w:rsidR="003A14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3A149C" w:rsidRPr="000775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нарушение требования о повторной сдаче теоретического экзамена по программе подготовки арбитражных управляющих в соответствии с абзацем 2 пункта 2 статьи 20.1 ФЗ-127 «О несостоятельности (банкротстве).</w:t>
            </w:r>
          </w:p>
        </w:tc>
      </w:tr>
    </w:tbl>
    <w:p w14:paraId="08517D0E" w14:textId="77777777" w:rsidR="003B5AFA" w:rsidRPr="00146CEC" w:rsidRDefault="003B5AFA" w:rsidP="003B5AFA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DB4BF7" w14:textId="5A12745C" w:rsidR="00ED5741" w:rsidRDefault="00555068" w:rsidP="00555068">
      <w:pPr>
        <w:tabs>
          <w:tab w:val="left" w:pos="851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D5741" w:rsidRPr="00146CEC">
        <w:rPr>
          <w:rFonts w:ascii="Times New Roman" w:hAnsi="Times New Roman" w:cs="Times New Roman"/>
          <w:sz w:val="24"/>
          <w:szCs w:val="24"/>
        </w:rPr>
        <w:t xml:space="preserve">Рассмотрение вопросов об </w:t>
      </w:r>
      <w:proofErr w:type="spellStart"/>
      <w:r w:rsidR="00ED5741" w:rsidRPr="00146CEC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="00ED5741" w:rsidRPr="00146CEC">
        <w:rPr>
          <w:rFonts w:ascii="Times New Roman" w:hAnsi="Times New Roman" w:cs="Times New Roman"/>
          <w:sz w:val="24"/>
          <w:szCs w:val="24"/>
        </w:rPr>
        <w:t xml:space="preserve"> арбитражных управляющих на основании </w:t>
      </w:r>
      <w:proofErr w:type="spellStart"/>
      <w:r w:rsidR="00ED5741" w:rsidRPr="00146CEC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="00ED5741" w:rsidRPr="00146CEC">
        <w:rPr>
          <w:rFonts w:ascii="Times New Roman" w:hAnsi="Times New Roman" w:cs="Times New Roman"/>
          <w:sz w:val="24"/>
          <w:szCs w:val="24"/>
        </w:rPr>
        <w:t xml:space="preserve">. 1 пункта 2.1 статьи 24.1 Федерального закона №127-ФЗ «О несостоятельности (банкротстве)» заключить договор обязательного страхования ответственности, размер страховой суммы по </w:t>
      </w:r>
      <w:r w:rsidR="00ED5741" w:rsidRPr="00146CEC">
        <w:rPr>
          <w:rFonts w:ascii="Times New Roman" w:hAnsi="Times New Roman" w:cs="Times New Roman"/>
          <w:sz w:val="24"/>
          <w:szCs w:val="24"/>
        </w:rPr>
        <w:lastRenderedPageBreak/>
        <w:t>которому превышает предусмотренный пунктом 2 статьи 24.1 указанного закона минимальный размер страховой суммы в год.</w:t>
      </w:r>
      <w:r w:rsidR="006E56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06C82A" w14:textId="674535CA" w:rsidR="006E56A1" w:rsidRDefault="006E56A1" w:rsidP="00555068">
      <w:pPr>
        <w:tabs>
          <w:tab w:val="left" w:pos="851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минимизации рисков взыскания из компенсационного фонда Ассоциации, арбитражные управляющие могут быть направлены Советом на заключение обязательного договора страхования ответственности с размером страховой суммы 20 млн. руб. в следующих случаях: отсутствие отчетности по процедурам, неисполнение требований закона в части дополнительного страхования, неисполнение решений органов управления Ассоциации, </w:t>
      </w:r>
      <w:r w:rsidR="00E53403">
        <w:rPr>
          <w:rFonts w:ascii="Times New Roman" w:hAnsi="Times New Roman" w:cs="Times New Roman"/>
          <w:sz w:val="24"/>
          <w:szCs w:val="24"/>
        </w:rPr>
        <w:t>ведение большого количества процедур, наличие жалоб и информации о потенциальных убытках и т.п.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D6AC9" w14:textId="77777777" w:rsidR="00E53403" w:rsidRPr="00146CEC" w:rsidRDefault="00E53403" w:rsidP="00555068">
      <w:pPr>
        <w:tabs>
          <w:tab w:val="left" w:pos="851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A238037" w14:textId="1A668A26" w:rsidR="00E53403" w:rsidRDefault="00555068" w:rsidP="00E53403">
      <w:pPr>
        <w:tabs>
          <w:tab w:val="left" w:pos="851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D5741" w:rsidRPr="00146CEC">
        <w:rPr>
          <w:rFonts w:ascii="Times New Roman" w:hAnsi="Times New Roman" w:cs="Times New Roman"/>
          <w:sz w:val="24"/>
          <w:szCs w:val="24"/>
        </w:rPr>
        <w:t>Рассмотрение вопросов об обращении в Арбитражные суды с ходатайством об освобождении арбитражных управляющих от исполнения возложенных на них обязанностей в деле о банкротстве в связи с выявлением фактов их несоответствия условиям членства, установленных Ассоциацией.</w:t>
      </w:r>
    </w:p>
    <w:p w14:paraId="6ACE8135" w14:textId="77777777" w:rsidR="00E53403" w:rsidRDefault="00E53403" w:rsidP="00E53403">
      <w:pPr>
        <w:tabs>
          <w:tab w:val="left" w:pos="851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A99A8DA" w14:textId="0F3FD14F" w:rsidR="00555068" w:rsidRDefault="00555068" w:rsidP="00E53403">
      <w:pPr>
        <w:tabs>
          <w:tab w:val="left" w:pos="851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53403">
        <w:rPr>
          <w:rFonts w:ascii="Times New Roman" w:eastAsia="Calibri" w:hAnsi="Times New Roman" w:cs="Times New Roman"/>
          <w:sz w:val="24"/>
          <w:szCs w:val="24"/>
        </w:rPr>
        <w:t>Прекращение деятельности Тюменского филиала Ассоциации.</w:t>
      </w:r>
    </w:p>
    <w:p w14:paraId="1E4D6B57" w14:textId="77777777" w:rsidR="00E53403" w:rsidRPr="00E53403" w:rsidRDefault="00E53403" w:rsidP="00E53403">
      <w:pPr>
        <w:tabs>
          <w:tab w:val="left" w:pos="851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A33277A" w14:textId="7A64BD24" w:rsidR="00555068" w:rsidRPr="002F435B" w:rsidRDefault="00555068" w:rsidP="00E53403">
      <w:pPr>
        <w:spacing w:after="0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435B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E53403">
        <w:rPr>
          <w:rFonts w:ascii="Times New Roman" w:eastAsia="Calibri" w:hAnsi="Times New Roman" w:cs="Times New Roman"/>
          <w:sz w:val="24"/>
          <w:szCs w:val="24"/>
        </w:rPr>
        <w:t>Избрание</w:t>
      </w:r>
      <w:r w:rsidRPr="002F435B">
        <w:rPr>
          <w:rFonts w:ascii="Times New Roman" w:eastAsia="Calibri" w:hAnsi="Times New Roman" w:cs="Times New Roman"/>
          <w:bCs/>
          <w:sz w:val="24"/>
          <w:szCs w:val="24"/>
        </w:rPr>
        <w:t xml:space="preserve"> состава </w:t>
      </w:r>
      <w:r w:rsidR="00E53403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 комитета</w:t>
      </w:r>
      <w:r w:rsidRPr="002F435B">
        <w:rPr>
          <w:rFonts w:ascii="Times New Roman" w:eastAsia="Calibri" w:hAnsi="Times New Roman" w:cs="Times New Roman"/>
          <w:bCs/>
          <w:sz w:val="24"/>
          <w:szCs w:val="24"/>
        </w:rPr>
        <w:t xml:space="preserve"> Ассоциации.</w:t>
      </w:r>
    </w:p>
    <w:p w14:paraId="395D96EE" w14:textId="57D63CCE" w:rsidR="00135C43" w:rsidRPr="00146CEC" w:rsidRDefault="00135C43" w:rsidP="00E5340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6FD33BB" w14:textId="5673FCFB" w:rsidR="00ED5741" w:rsidRPr="00146CEC" w:rsidRDefault="00ED5741" w:rsidP="00ED5741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CEC">
        <w:rPr>
          <w:rFonts w:ascii="Times New Roman" w:hAnsi="Times New Roman" w:cs="Times New Roman"/>
          <w:color w:val="000000"/>
          <w:sz w:val="24"/>
          <w:szCs w:val="24"/>
        </w:rPr>
        <w:t>Протоколы заседаний Совета Ассоциации размещены на официальном сайте Ассоциации в сети Интернет по адресу</w:t>
      </w:r>
      <w:r w:rsidRPr="00146CE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46CEC">
          <w:rPr>
            <w:rStyle w:val="a7"/>
            <w:rFonts w:ascii="Times New Roman" w:hAnsi="Times New Roman" w:cs="Times New Roman"/>
            <w:sz w:val="24"/>
            <w:szCs w:val="24"/>
          </w:rPr>
          <w:t>https://npsgau.ru/</w:t>
        </w:r>
      </w:hyperlink>
      <w:r w:rsidRPr="00146CEC">
        <w:rPr>
          <w:rFonts w:ascii="Times New Roman" w:hAnsi="Times New Roman" w:cs="Times New Roman"/>
          <w:color w:val="000000"/>
          <w:sz w:val="24"/>
          <w:szCs w:val="24"/>
        </w:rPr>
        <w:t xml:space="preserve">  в соответствии с требованиями действующего законодательства.</w:t>
      </w:r>
    </w:p>
    <w:p w14:paraId="5AB41E27" w14:textId="77777777" w:rsidR="003B5AFA" w:rsidRPr="00146CEC" w:rsidRDefault="003B5AFA" w:rsidP="00694DE5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24A347" w14:textId="77777777" w:rsidR="003B5AFA" w:rsidRDefault="003B5AFA" w:rsidP="00694DE5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61D5B" w14:textId="047CF3B4" w:rsidR="00D56BB2" w:rsidRDefault="00D56BB2" w:rsidP="00694DE5">
      <w:pPr>
        <w:jc w:val="center"/>
        <w:rPr>
          <w:rFonts w:ascii="Times New Roman" w:hAnsi="Times New Roman" w:cs="Times New Roman"/>
          <w:b/>
        </w:rPr>
      </w:pPr>
    </w:p>
    <w:p w14:paraId="305E2806" w14:textId="142E4412" w:rsidR="007B48C6" w:rsidRPr="00135C43" w:rsidRDefault="007B48C6" w:rsidP="00694DE5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C43">
        <w:rPr>
          <w:rFonts w:ascii="Times New Roman" w:hAnsi="Times New Roman" w:cs="Times New Roman"/>
          <w:sz w:val="24"/>
          <w:szCs w:val="24"/>
        </w:rPr>
        <w:t>Председатель Совета Ассоциации «</w:t>
      </w:r>
      <w:proofErr w:type="gramStart"/>
      <w:r w:rsidR="00D56BB2" w:rsidRPr="00135C43">
        <w:rPr>
          <w:rFonts w:ascii="Times New Roman" w:hAnsi="Times New Roman" w:cs="Times New Roman"/>
          <w:sz w:val="24"/>
          <w:szCs w:val="24"/>
        </w:rPr>
        <w:t xml:space="preserve">СГАУ»  </w:t>
      </w:r>
      <w:r w:rsidRPr="00135C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35C4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56BB2" w:rsidRPr="00135C43">
        <w:rPr>
          <w:rFonts w:ascii="Times New Roman" w:hAnsi="Times New Roman" w:cs="Times New Roman"/>
          <w:sz w:val="24"/>
          <w:szCs w:val="24"/>
        </w:rPr>
        <w:tab/>
      </w:r>
      <w:r w:rsidR="00D56BB2" w:rsidRPr="00135C43">
        <w:rPr>
          <w:rFonts w:ascii="Times New Roman" w:hAnsi="Times New Roman" w:cs="Times New Roman"/>
          <w:sz w:val="24"/>
          <w:szCs w:val="24"/>
        </w:rPr>
        <w:tab/>
      </w:r>
      <w:r w:rsidR="00D56BB2" w:rsidRPr="00135C43">
        <w:rPr>
          <w:rFonts w:ascii="Times New Roman" w:hAnsi="Times New Roman" w:cs="Times New Roman"/>
          <w:sz w:val="24"/>
          <w:szCs w:val="24"/>
        </w:rPr>
        <w:tab/>
      </w:r>
      <w:r w:rsidR="00D56BB2" w:rsidRPr="00135C43">
        <w:rPr>
          <w:rFonts w:ascii="Times New Roman" w:hAnsi="Times New Roman" w:cs="Times New Roman"/>
          <w:sz w:val="24"/>
          <w:szCs w:val="24"/>
        </w:rPr>
        <w:tab/>
      </w:r>
      <w:r w:rsidR="003A149C" w:rsidRPr="00135C43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="003A149C" w:rsidRPr="00135C43">
        <w:rPr>
          <w:rFonts w:ascii="Times New Roman" w:hAnsi="Times New Roman" w:cs="Times New Roman"/>
          <w:sz w:val="24"/>
          <w:szCs w:val="24"/>
        </w:rPr>
        <w:t>Лавренов</w:t>
      </w:r>
      <w:proofErr w:type="spellEnd"/>
    </w:p>
    <w:sectPr w:rsidR="007B48C6" w:rsidRPr="00135C43" w:rsidSect="00135C43">
      <w:pgSz w:w="11906" w:h="16838"/>
      <w:pgMar w:top="1134" w:right="850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2DD0"/>
    <w:multiLevelType w:val="multilevel"/>
    <w:tmpl w:val="7D128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6CF40E9"/>
    <w:multiLevelType w:val="hybridMultilevel"/>
    <w:tmpl w:val="09E8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20F5C"/>
    <w:multiLevelType w:val="multilevel"/>
    <w:tmpl w:val="D5E09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3C961D0"/>
    <w:multiLevelType w:val="multilevel"/>
    <w:tmpl w:val="62060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C6947A7"/>
    <w:multiLevelType w:val="hybridMultilevel"/>
    <w:tmpl w:val="FFF03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0633C"/>
    <w:multiLevelType w:val="multilevel"/>
    <w:tmpl w:val="8280CA32"/>
    <w:lvl w:ilvl="0">
      <w:start w:val="1"/>
      <w:numFmt w:val="decimal"/>
      <w:lvlText w:val="%1."/>
      <w:lvlJc w:val="left"/>
      <w:pPr>
        <w:ind w:left="100" w:hanging="234"/>
      </w:pPr>
      <w:rPr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20" w:hanging="42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055" w:hanging="42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191" w:hanging="42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327" w:hanging="42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463" w:hanging="42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599" w:hanging="42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34" w:hanging="421"/>
      </w:pPr>
      <w:rPr>
        <w:lang w:val="ru-RU" w:eastAsia="en-US" w:bidi="ar-SA"/>
      </w:rPr>
    </w:lvl>
  </w:abstractNum>
  <w:abstractNum w:abstractNumId="6" w15:restartNumberingAfterBreak="0">
    <w:nsid w:val="4DFD17EA"/>
    <w:multiLevelType w:val="hybridMultilevel"/>
    <w:tmpl w:val="466AAD4E"/>
    <w:lvl w:ilvl="0" w:tplc="028289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2B94FCA"/>
    <w:multiLevelType w:val="hybridMultilevel"/>
    <w:tmpl w:val="CFE05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E0E9F"/>
    <w:multiLevelType w:val="hybridMultilevel"/>
    <w:tmpl w:val="BF7ECBA6"/>
    <w:lvl w:ilvl="0" w:tplc="028289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4D739B8"/>
    <w:multiLevelType w:val="hybridMultilevel"/>
    <w:tmpl w:val="81DC770C"/>
    <w:lvl w:ilvl="0" w:tplc="4AC4ACF4">
      <w:start w:val="1"/>
      <w:numFmt w:val="decimal"/>
      <w:lvlText w:val="%1."/>
      <w:lvlJc w:val="left"/>
      <w:pPr>
        <w:ind w:left="1116" w:hanging="408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A350BFF"/>
    <w:multiLevelType w:val="hybridMultilevel"/>
    <w:tmpl w:val="B400D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F0854"/>
    <w:multiLevelType w:val="multilevel"/>
    <w:tmpl w:val="E5F806FE"/>
    <w:lvl w:ilvl="0">
      <w:start w:val="2"/>
      <w:numFmt w:val="decimal"/>
      <w:lvlText w:val="%1"/>
      <w:lvlJc w:val="left"/>
      <w:pPr>
        <w:ind w:left="556" w:hanging="44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6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9" w:hanging="44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93" w:hanging="44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38" w:hanging="44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3" w:hanging="44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27" w:hanging="44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72" w:hanging="44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17" w:hanging="444"/>
      </w:pPr>
      <w:rPr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3"/>
    <w:rsid w:val="000016AB"/>
    <w:rsid w:val="00003EC2"/>
    <w:rsid w:val="000149A3"/>
    <w:rsid w:val="00014C0F"/>
    <w:rsid w:val="00021D52"/>
    <w:rsid w:val="00021F4C"/>
    <w:rsid w:val="00023576"/>
    <w:rsid w:val="0002562B"/>
    <w:rsid w:val="00025783"/>
    <w:rsid w:val="00032BE2"/>
    <w:rsid w:val="0003326B"/>
    <w:rsid w:val="00033349"/>
    <w:rsid w:val="0003698F"/>
    <w:rsid w:val="00041589"/>
    <w:rsid w:val="0004196A"/>
    <w:rsid w:val="00042E22"/>
    <w:rsid w:val="00043524"/>
    <w:rsid w:val="00046D67"/>
    <w:rsid w:val="00052B59"/>
    <w:rsid w:val="00060D95"/>
    <w:rsid w:val="00062D79"/>
    <w:rsid w:val="00071251"/>
    <w:rsid w:val="00077539"/>
    <w:rsid w:val="00080EB7"/>
    <w:rsid w:val="00082372"/>
    <w:rsid w:val="00083ADB"/>
    <w:rsid w:val="00084AD2"/>
    <w:rsid w:val="000861A2"/>
    <w:rsid w:val="0008704C"/>
    <w:rsid w:val="00090DD2"/>
    <w:rsid w:val="00091216"/>
    <w:rsid w:val="00096DF6"/>
    <w:rsid w:val="00097128"/>
    <w:rsid w:val="000A1BE7"/>
    <w:rsid w:val="000A3BBC"/>
    <w:rsid w:val="000A44F9"/>
    <w:rsid w:val="000A5773"/>
    <w:rsid w:val="000B0116"/>
    <w:rsid w:val="000B4D09"/>
    <w:rsid w:val="000C144F"/>
    <w:rsid w:val="000C394A"/>
    <w:rsid w:val="000C470E"/>
    <w:rsid w:val="000D25D0"/>
    <w:rsid w:val="000D298A"/>
    <w:rsid w:val="000D3CF2"/>
    <w:rsid w:val="000E55A4"/>
    <w:rsid w:val="000E6FB8"/>
    <w:rsid w:val="000E7790"/>
    <w:rsid w:val="000F4220"/>
    <w:rsid w:val="000F4C21"/>
    <w:rsid w:val="000F5658"/>
    <w:rsid w:val="00100CB7"/>
    <w:rsid w:val="001049E5"/>
    <w:rsid w:val="00110A05"/>
    <w:rsid w:val="0011335A"/>
    <w:rsid w:val="00115C82"/>
    <w:rsid w:val="001179FC"/>
    <w:rsid w:val="0012228E"/>
    <w:rsid w:val="00123476"/>
    <w:rsid w:val="0012355B"/>
    <w:rsid w:val="0012798D"/>
    <w:rsid w:val="00130149"/>
    <w:rsid w:val="00132032"/>
    <w:rsid w:val="00132440"/>
    <w:rsid w:val="00135C43"/>
    <w:rsid w:val="001377F9"/>
    <w:rsid w:val="00146526"/>
    <w:rsid w:val="00146CEC"/>
    <w:rsid w:val="00150C87"/>
    <w:rsid w:val="001515DC"/>
    <w:rsid w:val="00154416"/>
    <w:rsid w:val="00156CC7"/>
    <w:rsid w:val="00157416"/>
    <w:rsid w:val="00161289"/>
    <w:rsid w:val="00162795"/>
    <w:rsid w:val="00164D7F"/>
    <w:rsid w:val="00165289"/>
    <w:rsid w:val="0016702A"/>
    <w:rsid w:val="00170E15"/>
    <w:rsid w:val="00172EC3"/>
    <w:rsid w:val="0017313B"/>
    <w:rsid w:val="00174ADB"/>
    <w:rsid w:val="001824E9"/>
    <w:rsid w:val="00187672"/>
    <w:rsid w:val="00192E4D"/>
    <w:rsid w:val="0019601D"/>
    <w:rsid w:val="0019745E"/>
    <w:rsid w:val="001A46F9"/>
    <w:rsid w:val="001B048A"/>
    <w:rsid w:val="001B082A"/>
    <w:rsid w:val="001B21E7"/>
    <w:rsid w:val="001B2DAC"/>
    <w:rsid w:val="001B770C"/>
    <w:rsid w:val="001C7536"/>
    <w:rsid w:val="001D2DE8"/>
    <w:rsid w:val="001D328F"/>
    <w:rsid w:val="001E0214"/>
    <w:rsid w:val="001E18E5"/>
    <w:rsid w:val="001E34EE"/>
    <w:rsid w:val="001F0BDE"/>
    <w:rsid w:val="001F51A3"/>
    <w:rsid w:val="001F754D"/>
    <w:rsid w:val="00204824"/>
    <w:rsid w:val="00204BEF"/>
    <w:rsid w:val="00204FBA"/>
    <w:rsid w:val="0021267E"/>
    <w:rsid w:val="0021395D"/>
    <w:rsid w:val="00214254"/>
    <w:rsid w:val="0021536D"/>
    <w:rsid w:val="00215809"/>
    <w:rsid w:val="00223183"/>
    <w:rsid w:val="00225CF3"/>
    <w:rsid w:val="00225FEC"/>
    <w:rsid w:val="002347BC"/>
    <w:rsid w:val="00234FA6"/>
    <w:rsid w:val="00236176"/>
    <w:rsid w:val="002372BE"/>
    <w:rsid w:val="002373D3"/>
    <w:rsid w:val="00251397"/>
    <w:rsid w:val="00254C83"/>
    <w:rsid w:val="002564CC"/>
    <w:rsid w:val="00256D36"/>
    <w:rsid w:val="00262C14"/>
    <w:rsid w:val="002665DF"/>
    <w:rsid w:val="00266C21"/>
    <w:rsid w:val="00266F56"/>
    <w:rsid w:val="00267BFB"/>
    <w:rsid w:val="00270E1A"/>
    <w:rsid w:val="00271155"/>
    <w:rsid w:val="00275F4E"/>
    <w:rsid w:val="00292493"/>
    <w:rsid w:val="00292708"/>
    <w:rsid w:val="002930F0"/>
    <w:rsid w:val="00296BB3"/>
    <w:rsid w:val="0029795C"/>
    <w:rsid w:val="002A17DC"/>
    <w:rsid w:val="002A5098"/>
    <w:rsid w:val="002A5D5B"/>
    <w:rsid w:val="002B3347"/>
    <w:rsid w:val="002B51BB"/>
    <w:rsid w:val="002C6EEF"/>
    <w:rsid w:val="002D122C"/>
    <w:rsid w:val="002D29B5"/>
    <w:rsid w:val="002D47A0"/>
    <w:rsid w:val="002D60D9"/>
    <w:rsid w:val="002E365E"/>
    <w:rsid w:val="002E68BB"/>
    <w:rsid w:val="002F435B"/>
    <w:rsid w:val="00300FE6"/>
    <w:rsid w:val="003024C0"/>
    <w:rsid w:val="00302ABE"/>
    <w:rsid w:val="00302B36"/>
    <w:rsid w:val="00304268"/>
    <w:rsid w:val="0030566F"/>
    <w:rsid w:val="00306FF1"/>
    <w:rsid w:val="00307D30"/>
    <w:rsid w:val="00310A04"/>
    <w:rsid w:val="0031584A"/>
    <w:rsid w:val="00322D14"/>
    <w:rsid w:val="00326D97"/>
    <w:rsid w:val="00332326"/>
    <w:rsid w:val="0033586E"/>
    <w:rsid w:val="0033605D"/>
    <w:rsid w:val="00340605"/>
    <w:rsid w:val="00340619"/>
    <w:rsid w:val="00342B17"/>
    <w:rsid w:val="0035684D"/>
    <w:rsid w:val="003625B5"/>
    <w:rsid w:val="00367413"/>
    <w:rsid w:val="0036775B"/>
    <w:rsid w:val="00367985"/>
    <w:rsid w:val="0037159B"/>
    <w:rsid w:val="00371E83"/>
    <w:rsid w:val="003754B4"/>
    <w:rsid w:val="003767D3"/>
    <w:rsid w:val="00377977"/>
    <w:rsid w:val="00377C25"/>
    <w:rsid w:val="00380548"/>
    <w:rsid w:val="00380879"/>
    <w:rsid w:val="00386F6A"/>
    <w:rsid w:val="00390E36"/>
    <w:rsid w:val="003A149C"/>
    <w:rsid w:val="003A27A0"/>
    <w:rsid w:val="003A5903"/>
    <w:rsid w:val="003B3217"/>
    <w:rsid w:val="003B5AFA"/>
    <w:rsid w:val="003B6339"/>
    <w:rsid w:val="003C2D82"/>
    <w:rsid w:val="003C690B"/>
    <w:rsid w:val="003D193E"/>
    <w:rsid w:val="003D1B5C"/>
    <w:rsid w:val="003D28A7"/>
    <w:rsid w:val="003D3BF8"/>
    <w:rsid w:val="003D4731"/>
    <w:rsid w:val="003D4F96"/>
    <w:rsid w:val="003D56C0"/>
    <w:rsid w:val="003E04E6"/>
    <w:rsid w:val="003E2FEA"/>
    <w:rsid w:val="003F5346"/>
    <w:rsid w:val="003F59CD"/>
    <w:rsid w:val="003F6E3A"/>
    <w:rsid w:val="003F70FB"/>
    <w:rsid w:val="00413F61"/>
    <w:rsid w:val="004142DE"/>
    <w:rsid w:val="004238AA"/>
    <w:rsid w:val="00423ED6"/>
    <w:rsid w:val="00426A3F"/>
    <w:rsid w:val="00443EB5"/>
    <w:rsid w:val="00444B1E"/>
    <w:rsid w:val="00444B38"/>
    <w:rsid w:val="004521AD"/>
    <w:rsid w:val="0045322F"/>
    <w:rsid w:val="0045467D"/>
    <w:rsid w:val="00455B54"/>
    <w:rsid w:val="0045671C"/>
    <w:rsid w:val="00460314"/>
    <w:rsid w:val="00462648"/>
    <w:rsid w:val="00470633"/>
    <w:rsid w:val="004713A5"/>
    <w:rsid w:val="00471836"/>
    <w:rsid w:val="0048006D"/>
    <w:rsid w:val="00484F16"/>
    <w:rsid w:val="0049188F"/>
    <w:rsid w:val="00492024"/>
    <w:rsid w:val="0049499D"/>
    <w:rsid w:val="00494D96"/>
    <w:rsid w:val="004A16F8"/>
    <w:rsid w:val="004A5552"/>
    <w:rsid w:val="004A7586"/>
    <w:rsid w:val="004B23CC"/>
    <w:rsid w:val="004B6085"/>
    <w:rsid w:val="004B64F8"/>
    <w:rsid w:val="004C34E6"/>
    <w:rsid w:val="004C76FC"/>
    <w:rsid w:val="004D5159"/>
    <w:rsid w:val="004D6A62"/>
    <w:rsid w:val="004E229F"/>
    <w:rsid w:val="004E6929"/>
    <w:rsid w:val="004F0B4E"/>
    <w:rsid w:val="004F1828"/>
    <w:rsid w:val="004F4EBA"/>
    <w:rsid w:val="004F5997"/>
    <w:rsid w:val="00502897"/>
    <w:rsid w:val="005039F6"/>
    <w:rsid w:val="00504E5C"/>
    <w:rsid w:val="0050555E"/>
    <w:rsid w:val="00506D11"/>
    <w:rsid w:val="00507760"/>
    <w:rsid w:val="00510D66"/>
    <w:rsid w:val="00510D6C"/>
    <w:rsid w:val="0051479A"/>
    <w:rsid w:val="00514946"/>
    <w:rsid w:val="00517A22"/>
    <w:rsid w:val="005218CF"/>
    <w:rsid w:val="005239E5"/>
    <w:rsid w:val="00524069"/>
    <w:rsid w:val="00526FF4"/>
    <w:rsid w:val="00530B90"/>
    <w:rsid w:val="00533253"/>
    <w:rsid w:val="0053378F"/>
    <w:rsid w:val="00540243"/>
    <w:rsid w:val="00544A05"/>
    <w:rsid w:val="005479DA"/>
    <w:rsid w:val="005500E7"/>
    <w:rsid w:val="00555068"/>
    <w:rsid w:val="00561772"/>
    <w:rsid w:val="00564DB1"/>
    <w:rsid w:val="00565878"/>
    <w:rsid w:val="00573C10"/>
    <w:rsid w:val="0057574A"/>
    <w:rsid w:val="00577E87"/>
    <w:rsid w:val="005813DC"/>
    <w:rsid w:val="00583A79"/>
    <w:rsid w:val="00583C2B"/>
    <w:rsid w:val="00586517"/>
    <w:rsid w:val="005926A8"/>
    <w:rsid w:val="00593F9C"/>
    <w:rsid w:val="00596060"/>
    <w:rsid w:val="00596ED6"/>
    <w:rsid w:val="005A17E7"/>
    <w:rsid w:val="005A78FF"/>
    <w:rsid w:val="005B077A"/>
    <w:rsid w:val="005B56A2"/>
    <w:rsid w:val="005C1292"/>
    <w:rsid w:val="005C3C1A"/>
    <w:rsid w:val="005C50A9"/>
    <w:rsid w:val="005D04B6"/>
    <w:rsid w:val="005D199E"/>
    <w:rsid w:val="005D588E"/>
    <w:rsid w:val="005E200A"/>
    <w:rsid w:val="005E52C4"/>
    <w:rsid w:val="005E67D8"/>
    <w:rsid w:val="005E69C2"/>
    <w:rsid w:val="005F3039"/>
    <w:rsid w:val="005F48CE"/>
    <w:rsid w:val="005F55F8"/>
    <w:rsid w:val="005F65B8"/>
    <w:rsid w:val="006006E3"/>
    <w:rsid w:val="00600965"/>
    <w:rsid w:val="006022EA"/>
    <w:rsid w:val="0060434C"/>
    <w:rsid w:val="00611370"/>
    <w:rsid w:val="00611F69"/>
    <w:rsid w:val="00612ED3"/>
    <w:rsid w:val="006159B7"/>
    <w:rsid w:val="00615D46"/>
    <w:rsid w:val="006262BF"/>
    <w:rsid w:val="00631534"/>
    <w:rsid w:val="0063184A"/>
    <w:rsid w:val="00635682"/>
    <w:rsid w:val="00635EEA"/>
    <w:rsid w:val="00635EFB"/>
    <w:rsid w:val="006405F9"/>
    <w:rsid w:val="00641A58"/>
    <w:rsid w:val="006456E0"/>
    <w:rsid w:val="00645F5B"/>
    <w:rsid w:val="006464B8"/>
    <w:rsid w:val="006543CA"/>
    <w:rsid w:val="006564C4"/>
    <w:rsid w:val="00657266"/>
    <w:rsid w:val="00664103"/>
    <w:rsid w:val="0066532A"/>
    <w:rsid w:val="00671FAF"/>
    <w:rsid w:val="00675CC2"/>
    <w:rsid w:val="00675CD1"/>
    <w:rsid w:val="00682BAA"/>
    <w:rsid w:val="00683CB2"/>
    <w:rsid w:val="00684143"/>
    <w:rsid w:val="00685AF1"/>
    <w:rsid w:val="00686FE6"/>
    <w:rsid w:val="00690056"/>
    <w:rsid w:val="00691D2B"/>
    <w:rsid w:val="00694DE5"/>
    <w:rsid w:val="006A557C"/>
    <w:rsid w:val="006B4F15"/>
    <w:rsid w:val="006B4FD7"/>
    <w:rsid w:val="006C0E51"/>
    <w:rsid w:val="006C1401"/>
    <w:rsid w:val="006C19EB"/>
    <w:rsid w:val="006C3FA3"/>
    <w:rsid w:val="006C7671"/>
    <w:rsid w:val="006D03F2"/>
    <w:rsid w:val="006D0FAF"/>
    <w:rsid w:val="006D281B"/>
    <w:rsid w:val="006D3FC3"/>
    <w:rsid w:val="006E56A1"/>
    <w:rsid w:val="006E75DF"/>
    <w:rsid w:val="006F0D7C"/>
    <w:rsid w:val="006F1EA5"/>
    <w:rsid w:val="006F42D1"/>
    <w:rsid w:val="006F4507"/>
    <w:rsid w:val="006F4E39"/>
    <w:rsid w:val="007107FF"/>
    <w:rsid w:val="00710A20"/>
    <w:rsid w:val="00717BC4"/>
    <w:rsid w:val="00725B87"/>
    <w:rsid w:val="007277E7"/>
    <w:rsid w:val="00730745"/>
    <w:rsid w:val="00731E5A"/>
    <w:rsid w:val="00733B81"/>
    <w:rsid w:val="007358D7"/>
    <w:rsid w:val="00736CD3"/>
    <w:rsid w:val="0073732B"/>
    <w:rsid w:val="00740301"/>
    <w:rsid w:val="007413FF"/>
    <w:rsid w:val="00743DFF"/>
    <w:rsid w:val="0075268F"/>
    <w:rsid w:val="00762C79"/>
    <w:rsid w:val="00763295"/>
    <w:rsid w:val="00771400"/>
    <w:rsid w:val="007725FD"/>
    <w:rsid w:val="0078036B"/>
    <w:rsid w:val="00780843"/>
    <w:rsid w:val="00781B96"/>
    <w:rsid w:val="00791914"/>
    <w:rsid w:val="00792C7C"/>
    <w:rsid w:val="00793725"/>
    <w:rsid w:val="00796BBB"/>
    <w:rsid w:val="007979E1"/>
    <w:rsid w:val="007A54BA"/>
    <w:rsid w:val="007A64BC"/>
    <w:rsid w:val="007B375F"/>
    <w:rsid w:val="007B3EFB"/>
    <w:rsid w:val="007B48C6"/>
    <w:rsid w:val="007B6D85"/>
    <w:rsid w:val="007C2C09"/>
    <w:rsid w:val="007C4990"/>
    <w:rsid w:val="007C5103"/>
    <w:rsid w:val="007D2B67"/>
    <w:rsid w:val="007D48D4"/>
    <w:rsid w:val="007E0296"/>
    <w:rsid w:val="007E302F"/>
    <w:rsid w:val="007E3936"/>
    <w:rsid w:val="007F00BB"/>
    <w:rsid w:val="007F178C"/>
    <w:rsid w:val="00802F68"/>
    <w:rsid w:val="00806E8E"/>
    <w:rsid w:val="00811315"/>
    <w:rsid w:val="00812D4A"/>
    <w:rsid w:val="008135E6"/>
    <w:rsid w:val="00814C0C"/>
    <w:rsid w:val="00814D8D"/>
    <w:rsid w:val="00817F3E"/>
    <w:rsid w:val="0082333D"/>
    <w:rsid w:val="008253DD"/>
    <w:rsid w:val="00827A56"/>
    <w:rsid w:val="00835768"/>
    <w:rsid w:val="0084162A"/>
    <w:rsid w:val="00844157"/>
    <w:rsid w:val="00851B45"/>
    <w:rsid w:val="00852DF2"/>
    <w:rsid w:val="00853033"/>
    <w:rsid w:val="00853183"/>
    <w:rsid w:val="00855701"/>
    <w:rsid w:val="00855D53"/>
    <w:rsid w:val="0085761C"/>
    <w:rsid w:val="008679F1"/>
    <w:rsid w:val="0087158A"/>
    <w:rsid w:val="008716C3"/>
    <w:rsid w:val="00873EDF"/>
    <w:rsid w:val="0087756C"/>
    <w:rsid w:val="0087782D"/>
    <w:rsid w:val="00883EFF"/>
    <w:rsid w:val="00884420"/>
    <w:rsid w:val="0089428F"/>
    <w:rsid w:val="00896148"/>
    <w:rsid w:val="0089679B"/>
    <w:rsid w:val="00897C1B"/>
    <w:rsid w:val="008A1AF9"/>
    <w:rsid w:val="008B2ACB"/>
    <w:rsid w:val="008B3BAC"/>
    <w:rsid w:val="008B4E76"/>
    <w:rsid w:val="008B7F9C"/>
    <w:rsid w:val="008C41F4"/>
    <w:rsid w:val="008C5CD4"/>
    <w:rsid w:val="008C64D7"/>
    <w:rsid w:val="008C6937"/>
    <w:rsid w:val="008C7F67"/>
    <w:rsid w:val="008D3E30"/>
    <w:rsid w:val="008D7E32"/>
    <w:rsid w:val="008E1B78"/>
    <w:rsid w:val="008E5831"/>
    <w:rsid w:val="008E5C56"/>
    <w:rsid w:val="008E6B45"/>
    <w:rsid w:val="008F3559"/>
    <w:rsid w:val="009018D6"/>
    <w:rsid w:val="00906EAF"/>
    <w:rsid w:val="00915170"/>
    <w:rsid w:val="0091531E"/>
    <w:rsid w:val="009157FB"/>
    <w:rsid w:val="00916DBD"/>
    <w:rsid w:val="0091737B"/>
    <w:rsid w:val="00922D36"/>
    <w:rsid w:val="00923C9E"/>
    <w:rsid w:val="0092753B"/>
    <w:rsid w:val="00930CC5"/>
    <w:rsid w:val="00930E28"/>
    <w:rsid w:val="00932649"/>
    <w:rsid w:val="009326DD"/>
    <w:rsid w:val="009335FB"/>
    <w:rsid w:val="0093640C"/>
    <w:rsid w:val="0094425C"/>
    <w:rsid w:val="00950A6E"/>
    <w:rsid w:val="00951154"/>
    <w:rsid w:val="009511A0"/>
    <w:rsid w:val="009531E6"/>
    <w:rsid w:val="009541E2"/>
    <w:rsid w:val="0095443E"/>
    <w:rsid w:val="00960EA8"/>
    <w:rsid w:val="009620E7"/>
    <w:rsid w:val="0096364A"/>
    <w:rsid w:val="009641AE"/>
    <w:rsid w:val="00967CE4"/>
    <w:rsid w:val="009724BD"/>
    <w:rsid w:val="00973433"/>
    <w:rsid w:val="00975133"/>
    <w:rsid w:val="00975829"/>
    <w:rsid w:val="00975C37"/>
    <w:rsid w:val="009801D0"/>
    <w:rsid w:val="00980881"/>
    <w:rsid w:val="00984292"/>
    <w:rsid w:val="00985A7E"/>
    <w:rsid w:val="00987A21"/>
    <w:rsid w:val="00991025"/>
    <w:rsid w:val="00991BF8"/>
    <w:rsid w:val="00996BBA"/>
    <w:rsid w:val="00996C8F"/>
    <w:rsid w:val="009A03D7"/>
    <w:rsid w:val="009A211D"/>
    <w:rsid w:val="009A4D47"/>
    <w:rsid w:val="009A6206"/>
    <w:rsid w:val="009A7371"/>
    <w:rsid w:val="009A760D"/>
    <w:rsid w:val="009B50E6"/>
    <w:rsid w:val="009C02FC"/>
    <w:rsid w:val="009C24FB"/>
    <w:rsid w:val="009C2770"/>
    <w:rsid w:val="009C45A6"/>
    <w:rsid w:val="009C6B25"/>
    <w:rsid w:val="009C727B"/>
    <w:rsid w:val="009C7BFD"/>
    <w:rsid w:val="009D3B19"/>
    <w:rsid w:val="009E14EE"/>
    <w:rsid w:val="009E1D07"/>
    <w:rsid w:val="009E2241"/>
    <w:rsid w:val="009E32D9"/>
    <w:rsid w:val="009F15FC"/>
    <w:rsid w:val="009F40EF"/>
    <w:rsid w:val="00A013AF"/>
    <w:rsid w:val="00A041BA"/>
    <w:rsid w:val="00A05B66"/>
    <w:rsid w:val="00A112B7"/>
    <w:rsid w:val="00A130F1"/>
    <w:rsid w:val="00A17012"/>
    <w:rsid w:val="00A32FA1"/>
    <w:rsid w:val="00A3478A"/>
    <w:rsid w:val="00A41BD1"/>
    <w:rsid w:val="00A45472"/>
    <w:rsid w:val="00A4569E"/>
    <w:rsid w:val="00A51623"/>
    <w:rsid w:val="00A52296"/>
    <w:rsid w:val="00A52343"/>
    <w:rsid w:val="00A53ABF"/>
    <w:rsid w:val="00A53DEA"/>
    <w:rsid w:val="00A55AC0"/>
    <w:rsid w:val="00A56CCB"/>
    <w:rsid w:val="00A625CE"/>
    <w:rsid w:val="00A645B1"/>
    <w:rsid w:val="00A67298"/>
    <w:rsid w:val="00A70666"/>
    <w:rsid w:val="00A7283E"/>
    <w:rsid w:val="00A749E8"/>
    <w:rsid w:val="00A7787A"/>
    <w:rsid w:val="00A77CE7"/>
    <w:rsid w:val="00A8372A"/>
    <w:rsid w:val="00A83E01"/>
    <w:rsid w:val="00A86661"/>
    <w:rsid w:val="00A90D8C"/>
    <w:rsid w:val="00A9671A"/>
    <w:rsid w:val="00A97211"/>
    <w:rsid w:val="00A977EB"/>
    <w:rsid w:val="00AA1F21"/>
    <w:rsid w:val="00AA2C1E"/>
    <w:rsid w:val="00AA5312"/>
    <w:rsid w:val="00AA745C"/>
    <w:rsid w:val="00AB047E"/>
    <w:rsid w:val="00AB05F6"/>
    <w:rsid w:val="00AB0655"/>
    <w:rsid w:val="00AB1979"/>
    <w:rsid w:val="00AB3518"/>
    <w:rsid w:val="00AB5BCA"/>
    <w:rsid w:val="00AB6056"/>
    <w:rsid w:val="00AC284E"/>
    <w:rsid w:val="00AC4D8E"/>
    <w:rsid w:val="00AD01E8"/>
    <w:rsid w:val="00AD0643"/>
    <w:rsid w:val="00AD660A"/>
    <w:rsid w:val="00AD6B65"/>
    <w:rsid w:val="00AE0652"/>
    <w:rsid w:val="00AE0F0C"/>
    <w:rsid w:val="00AE3449"/>
    <w:rsid w:val="00AE43D8"/>
    <w:rsid w:val="00AF5769"/>
    <w:rsid w:val="00AF6FEE"/>
    <w:rsid w:val="00AF759C"/>
    <w:rsid w:val="00B00E66"/>
    <w:rsid w:val="00B0178D"/>
    <w:rsid w:val="00B02140"/>
    <w:rsid w:val="00B02997"/>
    <w:rsid w:val="00B05046"/>
    <w:rsid w:val="00B07AFC"/>
    <w:rsid w:val="00B109D1"/>
    <w:rsid w:val="00B1213B"/>
    <w:rsid w:val="00B14A91"/>
    <w:rsid w:val="00B2732E"/>
    <w:rsid w:val="00B3453A"/>
    <w:rsid w:val="00B34E7B"/>
    <w:rsid w:val="00B40551"/>
    <w:rsid w:val="00B4080E"/>
    <w:rsid w:val="00B41D8F"/>
    <w:rsid w:val="00B45D63"/>
    <w:rsid w:val="00B4602C"/>
    <w:rsid w:val="00B51832"/>
    <w:rsid w:val="00B55814"/>
    <w:rsid w:val="00B57044"/>
    <w:rsid w:val="00B62A0B"/>
    <w:rsid w:val="00B64C60"/>
    <w:rsid w:val="00B72A0E"/>
    <w:rsid w:val="00B75A78"/>
    <w:rsid w:val="00B84F51"/>
    <w:rsid w:val="00B86036"/>
    <w:rsid w:val="00B9053F"/>
    <w:rsid w:val="00B91F41"/>
    <w:rsid w:val="00B92858"/>
    <w:rsid w:val="00B935E6"/>
    <w:rsid w:val="00B93C9B"/>
    <w:rsid w:val="00BA645F"/>
    <w:rsid w:val="00BB0A30"/>
    <w:rsid w:val="00BB3F77"/>
    <w:rsid w:val="00BB671E"/>
    <w:rsid w:val="00BB6F88"/>
    <w:rsid w:val="00BC0842"/>
    <w:rsid w:val="00BC182A"/>
    <w:rsid w:val="00BD00B8"/>
    <w:rsid w:val="00BD0D13"/>
    <w:rsid w:val="00BD2901"/>
    <w:rsid w:val="00BD36A3"/>
    <w:rsid w:val="00BD45E3"/>
    <w:rsid w:val="00BD6C26"/>
    <w:rsid w:val="00BD6F23"/>
    <w:rsid w:val="00BE2B13"/>
    <w:rsid w:val="00BF0330"/>
    <w:rsid w:val="00BF0F6B"/>
    <w:rsid w:val="00BF135C"/>
    <w:rsid w:val="00BF1D1E"/>
    <w:rsid w:val="00BF30A3"/>
    <w:rsid w:val="00BF7309"/>
    <w:rsid w:val="00C01C1D"/>
    <w:rsid w:val="00C031D3"/>
    <w:rsid w:val="00C073E1"/>
    <w:rsid w:val="00C2175D"/>
    <w:rsid w:val="00C26A0D"/>
    <w:rsid w:val="00C322C6"/>
    <w:rsid w:val="00C355EF"/>
    <w:rsid w:val="00C35918"/>
    <w:rsid w:val="00C4367B"/>
    <w:rsid w:val="00C53724"/>
    <w:rsid w:val="00C538E3"/>
    <w:rsid w:val="00C57361"/>
    <w:rsid w:val="00C574A8"/>
    <w:rsid w:val="00C60880"/>
    <w:rsid w:val="00C610B7"/>
    <w:rsid w:val="00C63FDE"/>
    <w:rsid w:val="00C645A5"/>
    <w:rsid w:val="00C64988"/>
    <w:rsid w:val="00C655B9"/>
    <w:rsid w:val="00C679FE"/>
    <w:rsid w:val="00C70BCC"/>
    <w:rsid w:val="00C713F9"/>
    <w:rsid w:val="00C803D3"/>
    <w:rsid w:val="00C82560"/>
    <w:rsid w:val="00C853EE"/>
    <w:rsid w:val="00C9025F"/>
    <w:rsid w:val="00C913FF"/>
    <w:rsid w:val="00C91A85"/>
    <w:rsid w:val="00C92E2D"/>
    <w:rsid w:val="00C946AF"/>
    <w:rsid w:val="00CA1D5C"/>
    <w:rsid w:val="00CA31F8"/>
    <w:rsid w:val="00CB0612"/>
    <w:rsid w:val="00CB0EF3"/>
    <w:rsid w:val="00CB26BC"/>
    <w:rsid w:val="00CB3B99"/>
    <w:rsid w:val="00CC7FBA"/>
    <w:rsid w:val="00CD0F04"/>
    <w:rsid w:val="00CD0F87"/>
    <w:rsid w:val="00CD5F83"/>
    <w:rsid w:val="00CE1261"/>
    <w:rsid w:val="00CE2DB8"/>
    <w:rsid w:val="00CE7355"/>
    <w:rsid w:val="00D01932"/>
    <w:rsid w:val="00D06F9A"/>
    <w:rsid w:val="00D154ED"/>
    <w:rsid w:val="00D161E4"/>
    <w:rsid w:val="00D24FFA"/>
    <w:rsid w:val="00D25267"/>
    <w:rsid w:val="00D265F5"/>
    <w:rsid w:val="00D267BA"/>
    <w:rsid w:val="00D32AED"/>
    <w:rsid w:val="00D33979"/>
    <w:rsid w:val="00D50B80"/>
    <w:rsid w:val="00D54FF2"/>
    <w:rsid w:val="00D55235"/>
    <w:rsid w:val="00D55D96"/>
    <w:rsid w:val="00D56BB2"/>
    <w:rsid w:val="00D712C3"/>
    <w:rsid w:val="00D729D5"/>
    <w:rsid w:val="00D74F2E"/>
    <w:rsid w:val="00D7690A"/>
    <w:rsid w:val="00D775BD"/>
    <w:rsid w:val="00D80547"/>
    <w:rsid w:val="00D81D71"/>
    <w:rsid w:val="00D81E76"/>
    <w:rsid w:val="00D912F6"/>
    <w:rsid w:val="00D92F23"/>
    <w:rsid w:val="00D93E9E"/>
    <w:rsid w:val="00D95B9A"/>
    <w:rsid w:val="00D97847"/>
    <w:rsid w:val="00DA23A2"/>
    <w:rsid w:val="00DA3C4A"/>
    <w:rsid w:val="00DA6469"/>
    <w:rsid w:val="00DB53DA"/>
    <w:rsid w:val="00DB54E0"/>
    <w:rsid w:val="00DB6FDA"/>
    <w:rsid w:val="00DC3A0C"/>
    <w:rsid w:val="00DC3F14"/>
    <w:rsid w:val="00DD029A"/>
    <w:rsid w:val="00DD1B6A"/>
    <w:rsid w:val="00DD39B1"/>
    <w:rsid w:val="00DD50A2"/>
    <w:rsid w:val="00DE4049"/>
    <w:rsid w:val="00DE46CF"/>
    <w:rsid w:val="00DF0453"/>
    <w:rsid w:val="00DF3ADE"/>
    <w:rsid w:val="00DF3E48"/>
    <w:rsid w:val="00DF4699"/>
    <w:rsid w:val="00DF741C"/>
    <w:rsid w:val="00DF7A3E"/>
    <w:rsid w:val="00E00C91"/>
    <w:rsid w:val="00E01267"/>
    <w:rsid w:val="00E01DB5"/>
    <w:rsid w:val="00E04B54"/>
    <w:rsid w:val="00E12FF2"/>
    <w:rsid w:val="00E137E1"/>
    <w:rsid w:val="00E14E32"/>
    <w:rsid w:val="00E15655"/>
    <w:rsid w:val="00E22FBB"/>
    <w:rsid w:val="00E22FDF"/>
    <w:rsid w:val="00E24932"/>
    <w:rsid w:val="00E253EF"/>
    <w:rsid w:val="00E26EB5"/>
    <w:rsid w:val="00E34AAF"/>
    <w:rsid w:val="00E404AC"/>
    <w:rsid w:val="00E41AEF"/>
    <w:rsid w:val="00E46E9B"/>
    <w:rsid w:val="00E5330E"/>
    <w:rsid w:val="00E53403"/>
    <w:rsid w:val="00E56113"/>
    <w:rsid w:val="00E57020"/>
    <w:rsid w:val="00E5780A"/>
    <w:rsid w:val="00E61149"/>
    <w:rsid w:val="00E66907"/>
    <w:rsid w:val="00E679BF"/>
    <w:rsid w:val="00E71E2E"/>
    <w:rsid w:val="00E74803"/>
    <w:rsid w:val="00E81F67"/>
    <w:rsid w:val="00E86B32"/>
    <w:rsid w:val="00E86F7C"/>
    <w:rsid w:val="00E873F3"/>
    <w:rsid w:val="00E8796B"/>
    <w:rsid w:val="00E91182"/>
    <w:rsid w:val="00E93F52"/>
    <w:rsid w:val="00EB53B5"/>
    <w:rsid w:val="00EB6296"/>
    <w:rsid w:val="00EB7E72"/>
    <w:rsid w:val="00EC0B47"/>
    <w:rsid w:val="00EC29ED"/>
    <w:rsid w:val="00EC6DD4"/>
    <w:rsid w:val="00ED22C5"/>
    <w:rsid w:val="00ED289F"/>
    <w:rsid w:val="00ED29B2"/>
    <w:rsid w:val="00ED5741"/>
    <w:rsid w:val="00ED59B2"/>
    <w:rsid w:val="00ED67E1"/>
    <w:rsid w:val="00ED7F04"/>
    <w:rsid w:val="00EE0D74"/>
    <w:rsid w:val="00EE6CAD"/>
    <w:rsid w:val="00EF06DC"/>
    <w:rsid w:val="00EF3387"/>
    <w:rsid w:val="00EF3403"/>
    <w:rsid w:val="00EF799D"/>
    <w:rsid w:val="00EF7DB7"/>
    <w:rsid w:val="00F0118A"/>
    <w:rsid w:val="00F017CA"/>
    <w:rsid w:val="00F05EA0"/>
    <w:rsid w:val="00F0721B"/>
    <w:rsid w:val="00F114D0"/>
    <w:rsid w:val="00F1298A"/>
    <w:rsid w:val="00F153BC"/>
    <w:rsid w:val="00F21E6E"/>
    <w:rsid w:val="00F27F3B"/>
    <w:rsid w:val="00F317AC"/>
    <w:rsid w:val="00F4335F"/>
    <w:rsid w:val="00F43F72"/>
    <w:rsid w:val="00F60C21"/>
    <w:rsid w:val="00F667A4"/>
    <w:rsid w:val="00F70DCF"/>
    <w:rsid w:val="00F71BEF"/>
    <w:rsid w:val="00F72951"/>
    <w:rsid w:val="00F7446B"/>
    <w:rsid w:val="00F75D33"/>
    <w:rsid w:val="00F77556"/>
    <w:rsid w:val="00F8596A"/>
    <w:rsid w:val="00F86C40"/>
    <w:rsid w:val="00F91F0D"/>
    <w:rsid w:val="00F968E1"/>
    <w:rsid w:val="00FA2456"/>
    <w:rsid w:val="00FA54CE"/>
    <w:rsid w:val="00FA77D3"/>
    <w:rsid w:val="00FB36EF"/>
    <w:rsid w:val="00FC0CAA"/>
    <w:rsid w:val="00FC75AB"/>
    <w:rsid w:val="00FD0A73"/>
    <w:rsid w:val="00FD6630"/>
    <w:rsid w:val="00FD7396"/>
    <w:rsid w:val="00FE4F82"/>
    <w:rsid w:val="00FE6193"/>
    <w:rsid w:val="00FE710A"/>
    <w:rsid w:val="00FF018C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867C"/>
  <w15:docId w15:val="{A1914650-B4B7-4510-9B5D-A7D6127D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67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7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45C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0B4D0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B4D0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6C0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9614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6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psga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93AE0-9315-4E5A-B771-777DB5B1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5</cp:revision>
  <cp:lastPrinted>2025-08-06T10:04:00Z</cp:lastPrinted>
  <dcterms:created xsi:type="dcterms:W3CDTF">2023-09-05T14:41:00Z</dcterms:created>
  <dcterms:modified xsi:type="dcterms:W3CDTF">2025-08-06T10:05:00Z</dcterms:modified>
</cp:coreProperties>
</file>